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8E23" w14:textId="77777777" w:rsidR="001775DA" w:rsidRPr="001775DA" w:rsidRDefault="001775DA" w:rsidP="001775DA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48"/>
          <w:szCs w:val="48"/>
          <w:lang w:val="en" w:eastAsia="en-GB"/>
        </w:rPr>
      </w:pPr>
      <w:r w:rsidRPr="001775DA">
        <w:rPr>
          <w:rFonts w:ascii="Century Gothic" w:eastAsia="Times New Roman" w:hAnsi="Century Gothic" w:cs="Helvetica"/>
          <w:b/>
          <w:color w:val="333333"/>
          <w:sz w:val="48"/>
          <w:szCs w:val="48"/>
          <w:lang w:val="en" w:eastAsia="en-GB"/>
        </w:rPr>
        <w:t>Annual Leave</w:t>
      </w:r>
      <w:r>
        <w:rPr>
          <w:rFonts w:ascii="Century Gothic" w:eastAsia="Times New Roman" w:hAnsi="Century Gothic" w:cs="Helvetica"/>
          <w:b/>
          <w:color w:val="333333"/>
          <w:sz w:val="48"/>
          <w:szCs w:val="48"/>
          <w:lang w:val="en" w:eastAsia="en-GB"/>
        </w:rPr>
        <w:t xml:space="preserve"> policy</w:t>
      </w:r>
    </w:p>
    <w:p w14:paraId="42E0A124" w14:textId="77A39979" w:rsidR="001775DA" w:rsidRPr="007C1C47" w:rsidRDefault="001775DA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9A58199" w14:textId="1FF371FD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7C1C47">
        <w:rPr>
          <w:rFonts w:ascii="Century Gothic" w:hAnsi="Century Gothic"/>
          <w:sz w:val="32"/>
          <w:szCs w:val="32"/>
        </w:rPr>
        <w:t>Agreed by</w:t>
      </w:r>
      <w:r w:rsidR="10B4279B" w:rsidRPr="007C1C47">
        <w:rPr>
          <w:rFonts w:ascii="Century Gothic" w:hAnsi="Century Gothic"/>
          <w:sz w:val="32"/>
          <w:szCs w:val="32"/>
        </w:rPr>
        <w:t xml:space="preserve"> </w:t>
      </w:r>
      <w:r w:rsidRPr="007C1C47">
        <w:rPr>
          <w:rFonts w:ascii="Century Gothic" w:hAnsi="Century Gothic"/>
          <w:sz w:val="32"/>
          <w:szCs w:val="32"/>
        </w:rPr>
        <w:tab/>
      </w:r>
      <w:r w:rsidR="001637B1">
        <w:rPr>
          <w:rFonts w:ascii="Century Gothic" w:hAnsi="Century Gothic"/>
          <w:sz w:val="32"/>
          <w:szCs w:val="32"/>
        </w:rPr>
        <w:t>Board</w:t>
      </w:r>
      <w:r w:rsidR="686330D7">
        <w:rPr>
          <w:rFonts w:ascii="Century Gothic" w:hAnsi="Century Gothic"/>
          <w:sz w:val="32"/>
          <w:szCs w:val="32"/>
        </w:rPr>
        <w:t xml:space="preserve"> </w:t>
      </w:r>
      <w:r w:rsidRPr="007C1C47">
        <w:rPr>
          <w:rFonts w:ascii="Century Gothic" w:hAnsi="Century Gothic"/>
          <w:sz w:val="32"/>
          <w:szCs w:val="32"/>
        </w:rPr>
        <w:tab/>
      </w:r>
      <w:r w:rsidRPr="007C1C47">
        <w:rPr>
          <w:rFonts w:ascii="Century Gothic" w:hAnsi="Century Gothic"/>
          <w:sz w:val="32"/>
          <w:szCs w:val="32"/>
        </w:rPr>
        <w:tab/>
      </w:r>
      <w:r w:rsidRPr="007C1C47">
        <w:rPr>
          <w:rFonts w:ascii="Century Gothic" w:hAnsi="Century Gothic"/>
          <w:sz w:val="32"/>
          <w:szCs w:val="32"/>
        </w:rPr>
        <w:tab/>
        <w:t>on</w:t>
      </w:r>
      <w:r w:rsidR="001637B1">
        <w:rPr>
          <w:rFonts w:ascii="Century Gothic" w:hAnsi="Century Gothic"/>
          <w:sz w:val="32"/>
          <w:szCs w:val="32"/>
        </w:rPr>
        <w:t xml:space="preserve"> 13/08/2019</w:t>
      </w:r>
    </w:p>
    <w:p w14:paraId="5D69C011" w14:textId="77777777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3CFA452F" w14:textId="77777777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683D0353" w14:textId="77777777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07B56C89" w14:textId="3FBCDED3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F8B6581">
        <w:rPr>
          <w:rFonts w:ascii="Century Gothic" w:hAnsi="Century Gothic"/>
          <w:sz w:val="32"/>
          <w:szCs w:val="32"/>
        </w:rPr>
        <w:t>Date for next check:</w:t>
      </w:r>
      <w:r w:rsidR="31636DDD" w:rsidRPr="0F8B6581">
        <w:rPr>
          <w:rFonts w:ascii="Century Gothic" w:hAnsi="Century Gothic"/>
          <w:sz w:val="32"/>
          <w:szCs w:val="32"/>
        </w:rPr>
        <w:t xml:space="preserve">   13/08/2021</w:t>
      </w:r>
    </w:p>
    <w:p w14:paraId="51079C45" w14:textId="77777777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7509BAE" w14:textId="77777777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Annual leave is important, because everyone needs to take a break from work.</w:t>
      </w:r>
    </w:p>
    <w:p w14:paraId="570804B7" w14:textId="77777777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1E3A8202" w14:textId="64F5C2E2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We </w:t>
      </w:r>
      <w:r w:rsidR="006E5B4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have separate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policies for:</w:t>
      </w:r>
    </w:p>
    <w:p w14:paraId="640DDEBF" w14:textId="00334DB3" w:rsidR="001B61AD" w:rsidRPr="001B61AD" w:rsidRDefault="001B61AD" w:rsidP="001B61AD">
      <w:pPr>
        <w:pStyle w:val="ListParagraph"/>
        <w:numPr>
          <w:ilvl w:val="0"/>
          <w:numId w:val="2"/>
        </w:num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sick leave</w:t>
      </w:r>
    </w:p>
    <w:p w14:paraId="37B7AD2B" w14:textId="5326CEBB" w:rsidR="001B61AD" w:rsidRDefault="001B61AD" w:rsidP="001B61AD">
      <w:pPr>
        <w:pStyle w:val="ListParagraph"/>
        <w:numPr>
          <w:ilvl w:val="0"/>
          <w:numId w:val="2"/>
        </w:num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compassionate leave</w:t>
      </w:r>
    </w:p>
    <w:p w14:paraId="12D5CB21" w14:textId="7B25C700" w:rsidR="006E5B4A" w:rsidRPr="001B61AD" w:rsidRDefault="006E5B4A" w:rsidP="001B61AD">
      <w:pPr>
        <w:pStyle w:val="ListParagraph"/>
        <w:numPr>
          <w:ilvl w:val="0"/>
          <w:numId w:val="2"/>
        </w:num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parental leave</w:t>
      </w:r>
    </w:p>
    <w:p w14:paraId="0A1E2952" w14:textId="216B2279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082CBB67" w14:textId="215D885C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6774AAAC" w14:textId="77777777" w:rsidR="006E5B4A" w:rsidRDefault="006E5B4A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br w:type="page"/>
      </w:r>
    </w:p>
    <w:p w14:paraId="08789D60" w14:textId="12A58F4A" w:rsidR="006E5B4A" w:rsidRPr="001637B1" w:rsidRDefault="006E5B4A" w:rsidP="001775DA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 w:rsidRPr="006E5B4A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lastRenderedPageBreak/>
        <w:t>How much annual leave?</w:t>
      </w:r>
    </w:p>
    <w:p w14:paraId="3E92C668" w14:textId="3A71F9C9" w:rsidR="001775DA" w:rsidRPr="0029198A" w:rsidRDefault="001775DA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The leave year runs from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1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April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to 31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March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each year. </w:t>
      </w:r>
    </w:p>
    <w:p w14:paraId="1FD265F1" w14:textId="77777777" w:rsidR="001775DA" w:rsidRPr="0029198A" w:rsidRDefault="001775DA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C5471E5" w14:textId="77777777" w:rsidR="00954273" w:rsidRDefault="001775DA" w:rsidP="00954273">
      <w:pPr>
        <w:ind w:right="-1616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Full-time </w:t>
      </w:r>
      <w:r w:rsidR="00820C6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staff 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get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2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5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days 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of 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annual leave each year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, plus public holidays as follows:</w:t>
      </w:r>
    </w:p>
    <w:p w14:paraId="49285DFC" w14:textId="3CDCC3E8" w:rsidR="00954273" w:rsidRPr="00954273" w:rsidRDefault="00954273" w:rsidP="00954273">
      <w:pPr>
        <w:ind w:right="-1616"/>
        <w:rPr>
          <w:rFonts w:ascii="Century Gothic" w:hAnsi="Century Gothic" w:cs="Arial"/>
          <w:sz w:val="32"/>
          <w:szCs w:val="32"/>
        </w:rPr>
      </w:pPr>
      <w:r w:rsidRPr="00954273">
        <w:rPr>
          <w:rFonts w:ascii="Century Gothic" w:hAnsi="Century Gothic" w:cs="Arial"/>
          <w:sz w:val="32"/>
          <w:szCs w:val="32"/>
        </w:rPr>
        <w:t>New Year's Day, Good Friday, Easter Monday, Easter Tuesday, May Day, Spring Bank Holiday, Tuesday following, Late Summer Holiday, Tuesday following, Christmas Day, Boxing Day, following day</w:t>
      </w:r>
    </w:p>
    <w:p w14:paraId="7272D5C1" w14:textId="437E9E5C" w:rsidR="001B61AD" w:rsidRDefault="001775DA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</w:t>
      </w:r>
    </w:p>
    <w:p w14:paraId="2E837239" w14:textId="62C1578B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Part-time staff get pro rata leave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and public holidays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. </w:t>
      </w:r>
    </w:p>
    <w:p w14:paraId="62C0F99E" w14:textId="77777777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5A910E36" w14:textId="5B15E312" w:rsidR="001775DA" w:rsidRPr="0029198A" w:rsidRDefault="00820C63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Staff</w:t>
      </w:r>
      <w:r w:rsidR="001775DA"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joining after 1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April</w:t>
      </w:r>
      <w:r w:rsidR="001775DA"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</w:t>
      </w:r>
      <w:r w:rsid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get pro rat</w:t>
      </w:r>
      <w:r w:rsidR="002F2FE9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</w:t>
      </w:r>
      <w:r w:rsid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leave</w:t>
      </w:r>
      <w:r w:rsidR="001775DA"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for the amount of the year they are employed.</w:t>
      </w:r>
      <w:r w:rsid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For example, if someone starts half way through the year, they will get half the annual leave. </w:t>
      </w:r>
    </w:p>
    <w:p w14:paraId="47A89104" w14:textId="77777777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3936AFF2" w14:textId="5A28362A" w:rsidR="003A60E1" w:rsidRPr="00954273" w:rsidRDefault="003A60E1" w:rsidP="003A60E1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 w:rsidRPr="003A60E1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t>Taking your annual leave</w:t>
      </w:r>
    </w:p>
    <w:p w14:paraId="551F6B87" w14:textId="2C611554" w:rsid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We expect you to plan your annual leave so:</w:t>
      </w:r>
    </w:p>
    <w:p w14:paraId="237C0BF6" w14:textId="7BA2E433" w:rsidR="003A60E1" w:rsidRPr="003A60E1" w:rsidRDefault="003A60E1" w:rsidP="003A60E1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3A60E1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you use the whole of your annual leave</w:t>
      </w:r>
    </w:p>
    <w:p w14:paraId="4825858E" w14:textId="6483ACF1" w:rsidR="003A60E1" w:rsidRDefault="003A60E1" w:rsidP="003A60E1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you can meet work deadlines</w:t>
      </w:r>
    </w:p>
    <w:p w14:paraId="2A8E8453" w14:textId="4386A187" w:rsidR="001637B1" w:rsidRDefault="001637B1" w:rsidP="003A60E1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Annual leave cards will be signed by your line manager.</w:t>
      </w:r>
    </w:p>
    <w:p w14:paraId="27EF0B2A" w14:textId="60E8547F" w:rsidR="003A60E1" w:rsidRPr="001637B1" w:rsidRDefault="001637B1" w:rsidP="003A60E1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Your line manager will keep a copy of your leave card.</w:t>
      </w:r>
    </w:p>
    <w:p w14:paraId="65252B47" w14:textId="79378F92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 w:rsidRPr="003A60E1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lastRenderedPageBreak/>
        <w:t>Carrying forward your annual leave</w:t>
      </w:r>
    </w:p>
    <w:p w14:paraId="095E7807" w14:textId="605884F0" w:rsid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3EF0CC25" w14:textId="6DE9F9EF" w:rsid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If you do not think you can use all your annual leave, you must talk with your manager.</w:t>
      </w:r>
    </w:p>
    <w:p w14:paraId="4426255C" w14:textId="338CA76C" w:rsid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35FF96ED" w14:textId="33A75762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Your manager will help you find ways to take your annual leave. If this is not possible, your manager can agree to let you carry forward up to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5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days of annual leave. </w:t>
      </w:r>
    </w:p>
    <w:p w14:paraId="7BF363DE" w14:textId="77777777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86D111C" w14:textId="77777777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53B963EE" w14:textId="77777777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32"/>
          <w:szCs w:val="32"/>
          <w:lang w:val="en" w:eastAsia="en-GB"/>
        </w:rPr>
      </w:pPr>
    </w:p>
    <w:p w14:paraId="189C921D" w14:textId="77777777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692455A3" w14:textId="77777777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br w:type="page"/>
      </w:r>
    </w:p>
    <w:p w14:paraId="38988E71" w14:textId="3A04564A" w:rsidR="003A60E1" w:rsidRPr="003A60E1" w:rsidRDefault="003A60E1" w:rsidP="001775DA">
      <w:pPr>
        <w:spacing w:after="0" w:line="360" w:lineRule="auto"/>
        <w:outlineLvl w:val="2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 w:rsidRPr="003A60E1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lastRenderedPageBreak/>
        <w:t>Leaving your job</w:t>
      </w:r>
    </w:p>
    <w:p w14:paraId="3ACA9E03" w14:textId="77777777" w:rsidR="003A60E1" w:rsidRDefault="003A60E1" w:rsidP="001775DA">
      <w:pPr>
        <w:spacing w:after="0" w:line="360" w:lineRule="auto"/>
        <w:outlineLvl w:val="2"/>
        <w:rPr>
          <w:rFonts w:ascii="Century Gothic" w:eastAsia="Times New Roman" w:hAnsi="Century Gothic" w:cs="Helvetica"/>
          <w:b/>
          <w:color w:val="333333"/>
          <w:sz w:val="32"/>
          <w:szCs w:val="32"/>
          <w:lang w:val="en" w:eastAsia="en-GB"/>
        </w:rPr>
      </w:pPr>
    </w:p>
    <w:p w14:paraId="4E5A50B7" w14:textId="55031D9A" w:rsidR="001775DA" w:rsidRPr="0029198A" w:rsidRDefault="003A60E1" w:rsidP="003A60E1">
      <w:pPr>
        <w:spacing w:after="0" w:line="360" w:lineRule="auto"/>
        <w:outlineLvl w:val="2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You must take your annual leave before your contract finishes. We cannot pay you money in lieu of annual leave.</w:t>
      </w:r>
    </w:p>
    <w:p w14:paraId="57B4886B" w14:textId="77777777" w:rsidR="00C66AA5" w:rsidRPr="0029198A" w:rsidRDefault="00C66AA5" w:rsidP="001775DA">
      <w:pPr>
        <w:tabs>
          <w:tab w:val="left" w:pos="5410"/>
        </w:tabs>
        <w:spacing w:after="0" w:line="360" w:lineRule="auto"/>
        <w:outlineLvl w:val="1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02FAD29F" w14:textId="77777777" w:rsidR="001775DA" w:rsidRPr="0029198A" w:rsidRDefault="001775DA" w:rsidP="001775DA">
      <w:pPr>
        <w:tabs>
          <w:tab w:val="left" w:pos="5410"/>
        </w:tabs>
        <w:spacing w:after="0" w:line="360" w:lineRule="auto"/>
        <w:outlineLvl w:val="1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6B6ED3DC" w14:textId="77777777" w:rsidR="001775DA" w:rsidRPr="0029198A" w:rsidRDefault="001775DA" w:rsidP="001775DA">
      <w:pPr>
        <w:tabs>
          <w:tab w:val="left" w:pos="5410"/>
        </w:tabs>
        <w:spacing w:after="0" w:line="360" w:lineRule="auto"/>
        <w:outlineLvl w:val="1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15C27E50" w14:textId="77777777" w:rsidR="001775DA" w:rsidRDefault="001775DA"/>
    <w:sectPr w:rsidR="001775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12850" w14:textId="77777777" w:rsidR="00B37911" w:rsidRDefault="00B37911" w:rsidP="00677444">
      <w:pPr>
        <w:spacing w:after="0" w:line="240" w:lineRule="auto"/>
      </w:pPr>
      <w:r>
        <w:separator/>
      </w:r>
    </w:p>
  </w:endnote>
  <w:endnote w:type="continuationSeparator" w:id="0">
    <w:p w14:paraId="42462EF0" w14:textId="77777777" w:rsidR="00B37911" w:rsidRDefault="00B37911" w:rsidP="0067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32"/>
        <w:szCs w:val="32"/>
      </w:rPr>
      <w:id w:val="-192611214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1853A6" w14:textId="46537BF1" w:rsidR="00677444" w:rsidRPr="00677444" w:rsidRDefault="00677444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677444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441F7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677444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441F7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14:paraId="10878B4A" w14:textId="77777777" w:rsidR="00677444" w:rsidRDefault="0067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C1CE" w14:textId="77777777" w:rsidR="00B37911" w:rsidRDefault="00B37911" w:rsidP="00677444">
      <w:pPr>
        <w:spacing w:after="0" w:line="240" w:lineRule="auto"/>
      </w:pPr>
      <w:r>
        <w:separator/>
      </w:r>
    </w:p>
  </w:footnote>
  <w:footnote w:type="continuationSeparator" w:id="0">
    <w:p w14:paraId="20DF1001" w14:textId="77777777" w:rsidR="00B37911" w:rsidRDefault="00B37911" w:rsidP="0067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D393C"/>
    <w:multiLevelType w:val="multilevel"/>
    <w:tmpl w:val="C44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0650E"/>
    <w:multiLevelType w:val="hybridMultilevel"/>
    <w:tmpl w:val="1E2C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573E"/>
    <w:multiLevelType w:val="hybridMultilevel"/>
    <w:tmpl w:val="3E58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DA"/>
    <w:rsid w:val="000518C0"/>
    <w:rsid w:val="000E22D4"/>
    <w:rsid w:val="001637B1"/>
    <w:rsid w:val="001775DA"/>
    <w:rsid w:val="001B61AD"/>
    <w:rsid w:val="002F2FE9"/>
    <w:rsid w:val="003441F7"/>
    <w:rsid w:val="00364650"/>
    <w:rsid w:val="003A153D"/>
    <w:rsid w:val="003A60E1"/>
    <w:rsid w:val="00486EF4"/>
    <w:rsid w:val="005B3042"/>
    <w:rsid w:val="00677444"/>
    <w:rsid w:val="006B4492"/>
    <w:rsid w:val="006E5B4A"/>
    <w:rsid w:val="007C1C47"/>
    <w:rsid w:val="007D62F0"/>
    <w:rsid w:val="00820C63"/>
    <w:rsid w:val="00822CBD"/>
    <w:rsid w:val="00927143"/>
    <w:rsid w:val="00954273"/>
    <w:rsid w:val="009725E3"/>
    <w:rsid w:val="00A250D5"/>
    <w:rsid w:val="00AE308E"/>
    <w:rsid w:val="00B37911"/>
    <w:rsid w:val="00C66AA5"/>
    <w:rsid w:val="00D904E0"/>
    <w:rsid w:val="00E80C90"/>
    <w:rsid w:val="00EF7AD0"/>
    <w:rsid w:val="00FB769C"/>
    <w:rsid w:val="0F8B6581"/>
    <w:rsid w:val="10B4279B"/>
    <w:rsid w:val="2998CC25"/>
    <w:rsid w:val="31636DDD"/>
    <w:rsid w:val="686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19F6"/>
  <w15:chartTrackingRefBased/>
  <w15:docId w15:val="{FFAD5DF0-DDB0-4107-93CD-A20FE5A8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4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444"/>
  </w:style>
  <w:style w:type="paragraph" w:styleId="Footer">
    <w:name w:val="footer"/>
    <w:basedOn w:val="Normal"/>
    <w:link w:val="FooterChar"/>
    <w:uiPriority w:val="99"/>
    <w:unhideWhenUsed/>
    <w:rsid w:val="0067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444"/>
  </w:style>
  <w:style w:type="table" w:styleId="TableGrid">
    <w:name w:val="Table Grid"/>
    <w:basedOn w:val="TableNormal"/>
    <w:uiPriority w:val="59"/>
    <w:rsid w:val="001B61AD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F33DB-6145-4BD3-BC0A-1D1B36C17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82F12-5A51-47A8-9F8E-A12C02FCF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CB92D-0AA9-44EB-8C8E-8B1243F1C0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Claire Morgan</cp:lastModifiedBy>
  <cp:revision>2</cp:revision>
  <dcterms:created xsi:type="dcterms:W3CDTF">2020-07-20T10:02:00Z</dcterms:created>
  <dcterms:modified xsi:type="dcterms:W3CDTF">2020-07-20T10:02:00Z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